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5937E870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B61C6A" w:rsidRPr="00EE12D4">
        <w:rPr>
          <w:rFonts w:cs="Arial"/>
          <w:b/>
          <w:sz w:val="26"/>
          <w:szCs w:val="26"/>
        </w:rPr>
        <w:t>0</w:t>
      </w:r>
      <w:r w:rsidR="00CF1467">
        <w:rPr>
          <w:rFonts w:cs="Arial"/>
          <w:b/>
          <w:sz w:val="26"/>
          <w:szCs w:val="26"/>
        </w:rPr>
        <w:t>7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7099EFB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CF1467">
        <w:rPr>
          <w:rFonts w:cs="Arial"/>
          <w:b/>
          <w:sz w:val="26"/>
          <w:szCs w:val="26"/>
        </w:rPr>
        <w:t>11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29B97D95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CF1467">
        <w:rPr>
          <w:rFonts w:cs="Arial"/>
          <w:sz w:val="26"/>
          <w:szCs w:val="26"/>
        </w:rPr>
        <w:t>Institui a nova estrutura administrativa do município de Jatobá,</w:t>
      </w:r>
      <w:r w:rsidR="00B11B68">
        <w:rPr>
          <w:rFonts w:cs="Arial"/>
          <w:sz w:val="26"/>
          <w:szCs w:val="26"/>
        </w:rPr>
        <w:t xml:space="preserve"> e dá outras providências</w:t>
      </w:r>
      <w:r w:rsidR="001C5C29" w:rsidRPr="00EE12D4">
        <w:rPr>
          <w:rFonts w:cs="Arial"/>
          <w:sz w:val="26"/>
          <w:szCs w:val="26"/>
        </w:rPr>
        <w:t>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C8A98C8" w14:textId="106CE6D8" w:rsidR="00F76761" w:rsidRDefault="00CF1467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011</w:t>
      </w:r>
      <w:r w:rsidR="00AD58B9">
        <w:rPr>
          <w:rFonts w:cs="Arial"/>
          <w:sz w:val="26"/>
          <w:szCs w:val="26"/>
        </w:rPr>
        <w:t xml:space="preserve">/2022 tem como mérito </w:t>
      </w:r>
      <w:r>
        <w:rPr>
          <w:rFonts w:cs="Arial"/>
          <w:sz w:val="26"/>
          <w:szCs w:val="26"/>
        </w:rPr>
        <w:t>instituir a nova estrutura administrativa do município de Jatobá</w:t>
      </w:r>
      <w:r w:rsidR="00F76761">
        <w:rPr>
          <w:rFonts w:cs="Arial"/>
          <w:sz w:val="26"/>
          <w:szCs w:val="26"/>
        </w:rPr>
        <w:t>, criando novas secretarias e cargos, com o objetivo de obter maior eficiência e eficácia na prestação de serviços ao povo de Jatobá.</w:t>
      </w:r>
    </w:p>
    <w:p w14:paraId="5BA29569" w14:textId="77777777" w:rsidR="00A959CC" w:rsidRDefault="00A959CC" w:rsidP="003B005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2E00292" w14:textId="67B31111" w:rsidR="003B0054" w:rsidRDefault="003B0054" w:rsidP="003B005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Federal, em seu artigo 61, § 1º, Inciso II, alínea a, 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 xml:space="preserve">II - </w:t>
      </w:r>
      <w:proofErr w:type="gramStart"/>
      <w:r w:rsidRPr="0046595F">
        <w:rPr>
          <w:rFonts w:cs="Arial"/>
          <w:sz w:val="22"/>
          <w:szCs w:val="22"/>
        </w:rPr>
        <w:t>disponham</w:t>
      </w:r>
      <w:proofErr w:type="gramEnd"/>
      <w:r w:rsidRPr="0046595F">
        <w:rPr>
          <w:rFonts w:cs="Arial"/>
          <w:sz w:val="22"/>
          <w:szCs w:val="22"/>
        </w:rPr>
        <w:t xml:space="preserve">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641404F" w14:textId="77777777" w:rsidR="00462318" w:rsidRPr="00B46815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B46815">
        <w:rPr>
          <w:rFonts w:cs="Arial"/>
          <w:b/>
          <w:sz w:val="22"/>
          <w:szCs w:val="22"/>
        </w:rPr>
        <w:t>a) criação de cargos, funções ou empregos públicos na administração direta e autárquica ou aumento de sua remuneração;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068A0D4B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Estadual no Art. 19, § 1º</w:t>
      </w:r>
      <w:r w:rsidR="003B0054">
        <w:rPr>
          <w:rFonts w:cs="Arial"/>
          <w:sz w:val="26"/>
          <w:szCs w:val="26"/>
        </w:rPr>
        <w:t>, Inciso II</w:t>
      </w:r>
      <w:r>
        <w:rPr>
          <w:rFonts w:cs="Arial"/>
          <w:sz w:val="26"/>
          <w:szCs w:val="26"/>
        </w:rPr>
        <w:t xml:space="preserve">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313675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>
        <w:rPr>
          <w:rFonts w:cs="Arial"/>
          <w:sz w:val="20"/>
          <w:szCs w:val="20"/>
        </w:rPr>
        <w:t>ição.</w:t>
      </w:r>
    </w:p>
    <w:p w14:paraId="1B1EF803" w14:textId="77777777" w:rsidR="00313675" w:rsidRPr="00313675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E2307D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E2307D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16D005FE" w14:textId="77777777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5D60C429" w14:textId="77777777" w:rsidR="00313675" w:rsidRPr="00B46815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B46815">
        <w:rPr>
          <w:rFonts w:cs="Arial"/>
          <w:b/>
          <w:sz w:val="20"/>
          <w:szCs w:val="20"/>
        </w:rPr>
        <w:t xml:space="preserve">II - </w:t>
      </w:r>
      <w:proofErr w:type="gramStart"/>
      <w:r w:rsidRPr="00B46815">
        <w:rPr>
          <w:rFonts w:cs="Arial"/>
          <w:b/>
          <w:sz w:val="20"/>
          <w:szCs w:val="20"/>
        </w:rPr>
        <w:t>criação e extinção</w:t>
      </w:r>
      <w:proofErr w:type="gramEnd"/>
      <w:r w:rsidRPr="00B46815">
        <w:rPr>
          <w:rFonts w:cs="Arial"/>
          <w:b/>
          <w:sz w:val="20"/>
          <w:szCs w:val="20"/>
        </w:rPr>
        <w:t xml:space="preserve"> de cargos, funções, empregos públicos na administração direta, autárquica e fundacional, ou aumento de despesa pública, no âmbito do Poder Executivo;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04E62BC7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="003B0054">
        <w:rPr>
          <w:rFonts w:cs="Arial"/>
          <w:sz w:val="26"/>
          <w:szCs w:val="26"/>
        </w:rPr>
        <w:t xml:space="preserve"> e III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D7A37D5" w14:textId="77777777" w:rsidR="000F72A5" w:rsidRPr="003B0054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3B0054">
        <w:rPr>
          <w:rFonts w:cs="Arial"/>
          <w:b/>
          <w:sz w:val="22"/>
          <w:szCs w:val="22"/>
        </w:rPr>
        <w:t>I.</w:t>
      </w:r>
      <w:r w:rsidRPr="003B0054">
        <w:rPr>
          <w:rFonts w:cs="Arial"/>
          <w:b/>
          <w:sz w:val="22"/>
          <w:szCs w:val="22"/>
        </w:rPr>
        <w:tab/>
        <w:t>Criação, extinção ou transformação de cargos, funções ou empregos públicos do Poder Executivo;</w:t>
      </w:r>
    </w:p>
    <w:p w14:paraId="72953629" w14:textId="77777777" w:rsidR="000F72A5" w:rsidRPr="00B46815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46815">
        <w:rPr>
          <w:rFonts w:cs="Arial"/>
          <w:b/>
          <w:sz w:val="22"/>
          <w:szCs w:val="22"/>
        </w:rPr>
        <w:t>III.</w:t>
      </w:r>
      <w:r w:rsidRPr="00B46815">
        <w:rPr>
          <w:rFonts w:cs="Arial"/>
          <w:b/>
          <w:sz w:val="22"/>
          <w:szCs w:val="22"/>
        </w:rPr>
        <w:tab/>
        <w:t>Regime jurídico, provimento de cargos, estabilidade, exoneração e aposentadoria dos servidores;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7D7CD43" w14:textId="77777777" w:rsidR="00460E57" w:rsidRDefault="004270AE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Assis sendo</w:t>
      </w:r>
      <w:r w:rsidR="007E358B" w:rsidRPr="00EE12D4">
        <w:rPr>
          <w:rFonts w:cs="Arial"/>
          <w:sz w:val="26"/>
          <w:szCs w:val="26"/>
        </w:rPr>
        <w:t xml:space="preserve">, </w:t>
      </w:r>
      <w:r w:rsidR="00A959CC">
        <w:rPr>
          <w:rFonts w:cs="Arial"/>
          <w:sz w:val="26"/>
          <w:szCs w:val="26"/>
        </w:rPr>
        <w:t>a</w:t>
      </w:r>
      <w:r w:rsidRPr="00EE12D4">
        <w:rPr>
          <w:rFonts w:cs="Arial"/>
          <w:sz w:val="26"/>
          <w:szCs w:val="26"/>
        </w:rPr>
        <w:t xml:space="preserve"> </w:t>
      </w:r>
      <w:r w:rsidR="00A959CC">
        <w:rPr>
          <w:rFonts w:cs="Arial"/>
          <w:sz w:val="26"/>
          <w:szCs w:val="26"/>
        </w:rPr>
        <w:t>nova estrutura administrativa em discussão visa otimizar os serviços entregues para a população, de forma ágil, eficiente e</w:t>
      </w:r>
      <w:r w:rsidR="00460E57">
        <w:rPr>
          <w:rFonts w:cs="Arial"/>
          <w:sz w:val="26"/>
          <w:szCs w:val="26"/>
        </w:rPr>
        <w:t xml:space="preserve"> efetiva, contribuindo com o crescimento e desenvolvimento do município de Jatobá.</w:t>
      </w:r>
    </w:p>
    <w:p w14:paraId="606D9A21" w14:textId="77777777" w:rsidR="00460E57" w:rsidRDefault="00460E57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757007B7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460E57">
        <w:rPr>
          <w:rFonts w:cs="Arial"/>
          <w:sz w:val="26"/>
          <w:szCs w:val="26"/>
        </w:rPr>
        <w:t>16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460E57">
        <w:rPr>
          <w:rFonts w:cs="Arial"/>
          <w:sz w:val="26"/>
          <w:szCs w:val="26"/>
        </w:rPr>
        <w:t>fevereiro</w:t>
      </w:r>
      <w:bookmarkStart w:id="0" w:name="_GoBack"/>
      <w:bookmarkEnd w:id="0"/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FCB5" w14:textId="77777777" w:rsidR="002413FA" w:rsidRDefault="002413FA">
      <w:r>
        <w:separator/>
      </w:r>
    </w:p>
  </w:endnote>
  <w:endnote w:type="continuationSeparator" w:id="0">
    <w:p w14:paraId="45C84C3C" w14:textId="77777777" w:rsidR="002413FA" w:rsidRDefault="0024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AB04901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60E57" w:rsidRPr="00460E57">
      <w:rPr>
        <w:rFonts w:ascii="Cambria" w:hAnsi="Cambria" w:cs="Arial"/>
        <w:b/>
        <w:i/>
        <w:noProof/>
        <w:sz w:val="28"/>
        <w:szCs w:val="28"/>
      </w:rPr>
      <w:t>-</w:t>
    </w:r>
    <w:r w:rsidR="00460E5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D05F" w14:textId="77777777" w:rsidR="002413FA" w:rsidRDefault="002413FA">
      <w:r>
        <w:separator/>
      </w:r>
    </w:p>
  </w:footnote>
  <w:footnote w:type="continuationSeparator" w:id="0">
    <w:p w14:paraId="0D7D6455" w14:textId="77777777" w:rsidR="002413FA" w:rsidRDefault="0024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413F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413F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13FA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0E57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59CC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E6C9F"/>
    <w:rsid w:val="00CF092C"/>
    <w:rsid w:val="00CF1467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6761"/>
    <w:rsid w:val="00F77045"/>
    <w:rsid w:val="00F80484"/>
    <w:rsid w:val="00F80D40"/>
    <w:rsid w:val="00F815CC"/>
    <w:rsid w:val="00F900C4"/>
    <w:rsid w:val="00F91381"/>
    <w:rsid w:val="00F92702"/>
    <w:rsid w:val="00F92CD1"/>
    <w:rsid w:val="00F92FC3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24476-1E66-4B43-A4C3-23EF40BA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3167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5</cp:revision>
  <cp:lastPrinted>2021-10-28T12:45:00Z</cp:lastPrinted>
  <dcterms:created xsi:type="dcterms:W3CDTF">2022-02-10T13:35:00Z</dcterms:created>
  <dcterms:modified xsi:type="dcterms:W3CDTF">2022-02-10T14:06:00Z</dcterms:modified>
</cp:coreProperties>
</file>